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4F652"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b/>
          <w:bCs/>
          <w:lang w:val="es-ES"/>
          <w14:ligatures w14:val="none"/>
        </w:rPr>
        <w:t>18 de febrero de 2025</w:t>
      </w:r>
    </w:p>
    <w:p w14:paraId="65AA9D80" w14:textId="77777777" w:rsidR="00EE68E4" w:rsidRPr="00EE68E4" w:rsidRDefault="00EE68E4" w:rsidP="00EE68E4">
      <w:pPr>
        <w:spacing w:before="100" w:beforeAutospacing="1" w:after="100" w:afterAutospacing="1" w:line="240" w:lineRule="auto"/>
        <w:jc w:val="center"/>
        <w:rPr>
          <w:rFonts w:ascii="Calibri" w:eastAsia="Times New Roman" w:hAnsi="Calibri" w:cs="Calibri"/>
          <w:sz w:val="28"/>
          <w:szCs w:val="28"/>
          <w:lang w:val="es-ES"/>
          <w14:ligatures w14:val="none"/>
        </w:rPr>
      </w:pPr>
      <w:r w:rsidRPr="00EE68E4">
        <w:rPr>
          <w:rFonts w:ascii="Calibri" w:eastAsia="Times New Roman" w:hAnsi="Calibri" w:cs="Calibri"/>
          <w:b/>
          <w:bCs/>
          <w:sz w:val="28"/>
          <w:szCs w:val="28"/>
          <w:lang w:val="es-ES"/>
          <w14:ligatures w14:val="none"/>
        </w:rPr>
        <w:t>Comunicado de prensa</w:t>
      </w:r>
    </w:p>
    <w:p w14:paraId="5D691F20" w14:textId="77777777" w:rsidR="00EE68E4" w:rsidRPr="00EE68E4" w:rsidRDefault="00EE68E4" w:rsidP="00EE68E4">
      <w:pPr>
        <w:spacing w:before="100" w:beforeAutospacing="1" w:after="100" w:afterAutospacing="1" w:line="240" w:lineRule="auto"/>
        <w:jc w:val="center"/>
        <w:outlineLvl w:val="1"/>
        <w:rPr>
          <w:rFonts w:ascii="Calibri" w:eastAsia="Times New Roman" w:hAnsi="Calibri" w:cs="Calibri"/>
          <w:b/>
          <w:bCs/>
          <w:sz w:val="28"/>
          <w:szCs w:val="28"/>
          <w:lang w:val="es-ES"/>
          <w14:ligatures w14:val="none"/>
        </w:rPr>
      </w:pPr>
      <w:r w:rsidRPr="00EE68E4">
        <w:rPr>
          <w:rFonts w:ascii="Calibri" w:eastAsia="Times New Roman" w:hAnsi="Calibri" w:cs="Calibri"/>
          <w:b/>
          <w:bCs/>
          <w:sz w:val="28"/>
          <w:szCs w:val="28"/>
          <w:lang w:val="es-ES"/>
          <w14:ligatures w14:val="none"/>
        </w:rPr>
        <w:t>La producción mundial de aerosoles de aluminio crece más de un 4 % en 2024</w:t>
      </w:r>
    </w:p>
    <w:p w14:paraId="24DBF07C"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Las empresas miembros de AEROBAL, la Organización Internacional de Fabricantes de Aerosoles de Aluminio, registraron entregas globales de 6,75 mil millones de unidades en 2024. En comparación con el año anterior, esto representa un aumento del 4,2 %. Este notable crecimiento, a pesar de un entorno económico desafiante, fue impulsado por una demanda sólida en todos los segmentos clave del mercado, incluidos el cuidado personal y la cosmética, la industria farmacéutica, así como los productos alimentarios y domésticos.</w:t>
      </w:r>
    </w:p>
    <w:p w14:paraId="24A58111" w14:textId="77777777" w:rsidR="00EE68E4" w:rsidRPr="00EE68E4" w:rsidRDefault="00EE68E4" w:rsidP="00EE68E4">
      <w:pPr>
        <w:spacing w:before="100" w:beforeAutospacing="1" w:after="100" w:afterAutospacing="1" w:line="240" w:lineRule="auto"/>
        <w:outlineLvl w:val="2"/>
        <w:rPr>
          <w:rFonts w:ascii="Calibri" w:eastAsia="Times New Roman" w:hAnsi="Calibri" w:cs="Calibri"/>
          <w:b/>
          <w:bCs/>
          <w:lang w:val="es-ES"/>
          <w14:ligatures w14:val="none"/>
        </w:rPr>
      </w:pPr>
      <w:r w:rsidRPr="00EE68E4">
        <w:rPr>
          <w:rFonts w:ascii="Calibri" w:eastAsia="Times New Roman" w:hAnsi="Calibri" w:cs="Calibri"/>
          <w:b/>
          <w:bCs/>
          <w:lang w:val="es-ES"/>
          <w14:ligatures w14:val="none"/>
        </w:rPr>
        <w:t>Fuerte demanda en todos los principales mercados</w:t>
      </w:r>
    </w:p>
    <w:p w14:paraId="7C552F9B"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El sector del cuidado personal sigue siendo, con diferencia, el mercado más importante, representando aproximadamente el 81,5 % de la demanda total y alcanzando un crecimiento global del 4 % en comparación con 2023. Los desodorantes y antitranspirantes continúan dominando esta categoría, con un sólido crecimiento del 3 %. Los productos más destacados en el ámbito del cuidado personal fueron los geles y espumas de afeitar, con un impresionante aumento del 15 % en las entregas.</w:t>
      </w:r>
    </w:p>
    <w:p w14:paraId="6B10439E"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Los aerosoles de aluminio también experimentaron un fuerte impulso en el sector de productos del hogar y aplicaciones técnicas, que registraron un notable crecimiento del 22,7 %, impulsado en gran medida por el aumento de la demanda de ambientadores e insecticidas. Los segmentos farmacéutico y alimentario también mostraron incrementos significativos, con entregas que aumentaron un 10 % y un 11,5 %, respectivamente.</w:t>
      </w:r>
    </w:p>
    <w:p w14:paraId="69FEFD68"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Desde una perspectiva geográfica, todos los mercados globales mostraron un desarrollo positivo en 2024, excepto África, donde las entregas cayeron un 5,5 %. La UE (incluido el Reino Unido) y América siguen siendo las dos regiones dominantes, representando el 72 % de las entregas mundiales y logrando un crecimiento conjunto del 5,5 %. Además, la región de Medio Oriente registró un impresionante aumento del 17 % en la demanda.</w:t>
      </w:r>
    </w:p>
    <w:p w14:paraId="764C661B"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De cara a 2025, la mayoría de los expertos de la industria prevén una demanda estable o en aumento de los aerosoles de aluminio, aunque el crecimiento puede variar según la región. Los fabricantes también ven oportunidades adicionales en la innovación y la diversificación de su cartera, explorando nuevos mercados para aplicaciones fuera del ámbito de los aerosoles, como tarros cosméticos, botellas para bebidas y envases para snacks.</w:t>
      </w:r>
    </w:p>
    <w:p w14:paraId="6BF60627" w14:textId="77777777" w:rsidR="00EE68E4" w:rsidRPr="00EE68E4" w:rsidRDefault="00EE68E4" w:rsidP="00EE68E4">
      <w:pPr>
        <w:spacing w:before="100" w:beforeAutospacing="1" w:after="100" w:afterAutospacing="1" w:line="240" w:lineRule="auto"/>
        <w:outlineLvl w:val="2"/>
        <w:rPr>
          <w:rFonts w:ascii="Calibri" w:eastAsia="Times New Roman" w:hAnsi="Calibri" w:cs="Calibri"/>
          <w:b/>
          <w:bCs/>
          <w:lang w:val="es-ES"/>
          <w14:ligatures w14:val="none"/>
        </w:rPr>
      </w:pPr>
      <w:r w:rsidRPr="00EE68E4">
        <w:rPr>
          <w:rFonts w:ascii="Calibri" w:eastAsia="Times New Roman" w:hAnsi="Calibri" w:cs="Calibri"/>
          <w:b/>
          <w:bCs/>
          <w:lang w:val="es-ES"/>
          <w14:ligatures w14:val="none"/>
        </w:rPr>
        <w:t>Adaptación del sector: innovación y sostenibilidad como prioridades</w:t>
      </w:r>
    </w:p>
    <w:p w14:paraId="5856F92F"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t>La industria trabaja intensamente para garantizar que los aerosoles cumplan con los más altos objetivos ambientales y de sostenibilidad. La reciclabilidad y el cumplimiento normativo siguen siendo prioridades clave. Estos esfuerzos, junto con la adaptación a los requisitos en evolución del PPWR, son fundamentales para el compromiso del sector con soluciones de embalaje sostenibles y de alta calidad.</w:t>
      </w:r>
    </w:p>
    <w:p w14:paraId="3D57C394" w14:textId="0BF18416"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lang w:val="es-ES"/>
          <w14:ligatures w14:val="none"/>
        </w:rPr>
        <w:lastRenderedPageBreak/>
        <w:t>«El sólido crecimiento que hemos experimentado en 2024 demuestra que nuestra industria está en una trayectoria positiva», afirmó Rob Huffman, presidente de AEROBAL. «Pero mirando hacia el futuro, debemos mantenernos enfocados y estar preparados para enfrentar los desafíos venideros con creatividad. Las presiones regulatorias, especialmente en la UE, se están intensificando, y la dinámica del comercio global —como la influencia de las políticas actuales de la administración estadounidense— plantea desafíos adicionales. Sin embargo, nuestra industria está comprometida con la innovación y la sostenibilidad, que serán los principales impulsores del éxito en 2025 y más allá».</w:t>
      </w:r>
    </w:p>
    <w:p w14:paraId="6AF6D9A8" w14:textId="77777777" w:rsidR="00EE68E4" w:rsidRPr="00EE68E4" w:rsidRDefault="00EE68E4" w:rsidP="00EE68E4">
      <w:pPr>
        <w:spacing w:before="100" w:beforeAutospacing="1" w:after="100" w:afterAutospacing="1" w:line="240" w:lineRule="auto"/>
        <w:rPr>
          <w:rFonts w:ascii="Calibri" w:eastAsia="Times New Roman" w:hAnsi="Calibri" w:cs="Calibri"/>
          <w:lang w:val="es-ES"/>
          <w14:ligatures w14:val="none"/>
        </w:rPr>
      </w:pPr>
      <w:r w:rsidRPr="00EE68E4">
        <w:rPr>
          <w:rFonts w:ascii="Calibri" w:eastAsia="Times New Roman" w:hAnsi="Calibri" w:cs="Calibri"/>
          <w:b/>
          <w:bCs/>
          <w:lang w:val="es-ES"/>
          <w14:ligatures w14:val="none"/>
        </w:rPr>
        <w:t>Contacto:</w:t>
      </w:r>
      <w:r w:rsidRPr="00EE68E4">
        <w:rPr>
          <w:rFonts w:ascii="Calibri" w:eastAsia="Times New Roman" w:hAnsi="Calibri" w:cs="Calibri"/>
          <w:lang w:val="es-ES"/>
          <w14:ligatures w14:val="none"/>
        </w:rPr>
        <w:br/>
        <w:t>Seifeldin Raslan Mohamed</w:t>
      </w:r>
      <w:r w:rsidRPr="00EE68E4">
        <w:rPr>
          <w:rFonts w:ascii="Calibri" w:eastAsia="Times New Roman" w:hAnsi="Calibri" w:cs="Calibri"/>
          <w:lang w:val="es-ES"/>
          <w14:ligatures w14:val="none"/>
        </w:rPr>
        <w:br/>
        <w:t>Jefe de la División de Envases y Polvos Metálicos en Aluminium Deutschland e. V. (AD)</w:t>
      </w:r>
      <w:r w:rsidRPr="00EE68E4">
        <w:rPr>
          <w:rFonts w:ascii="Calibri" w:eastAsia="Times New Roman" w:hAnsi="Calibri" w:cs="Calibri"/>
          <w:lang w:val="es-ES"/>
          <w14:ligatures w14:val="none"/>
        </w:rPr>
        <w:br/>
        <w:t>Secretario General de AEROBAL</w:t>
      </w:r>
    </w:p>
    <w:p w14:paraId="534D97B2" w14:textId="77777777" w:rsidR="00C45B86" w:rsidRPr="00EE68E4" w:rsidRDefault="00C45B86">
      <w:pPr>
        <w:rPr>
          <w:rFonts w:ascii="Calibri" w:hAnsi="Calibri" w:cs="Calibri"/>
          <w:lang w:val="es-ES"/>
        </w:rPr>
      </w:pPr>
    </w:p>
    <w:sectPr w:rsidR="00C45B86" w:rsidRPr="00EE68E4" w:rsidSect="00873B3E">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227A8" w14:textId="77777777" w:rsidR="00137135" w:rsidRDefault="00137135" w:rsidP="00DF27B1">
      <w:pPr>
        <w:spacing w:after="0" w:line="240" w:lineRule="auto"/>
      </w:pPr>
      <w:r>
        <w:separator/>
      </w:r>
    </w:p>
  </w:endnote>
  <w:endnote w:type="continuationSeparator" w:id="0">
    <w:p w14:paraId="46F6B3B3" w14:textId="77777777" w:rsidR="00137135" w:rsidRDefault="00137135" w:rsidP="00DF2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284C" w14:textId="4B4DF218" w:rsidR="00DF27B1" w:rsidRDefault="00DF27B1">
    <w:pPr>
      <w:pStyle w:val="Fuzeile"/>
    </w:pPr>
    <w:r>
      <w:rPr>
        <w:noProof/>
      </w:rPr>
      <w:drawing>
        <wp:inline distT="0" distB="0" distL="0" distR="0" wp14:anchorId="1BD60EEF" wp14:editId="0D7E8F59">
          <wp:extent cx="5829300" cy="457200"/>
          <wp:effectExtent l="0" t="0" r="0" b="0"/>
          <wp:docPr id="210015331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7BDC3" w14:textId="77777777" w:rsidR="00137135" w:rsidRDefault="00137135" w:rsidP="00DF27B1">
      <w:pPr>
        <w:spacing w:after="0" w:line="240" w:lineRule="auto"/>
      </w:pPr>
      <w:r>
        <w:separator/>
      </w:r>
    </w:p>
  </w:footnote>
  <w:footnote w:type="continuationSeparator" w:id="0">
    <w:p w14:paraId="08A11FA4" w14:textId="77777777" w:rsidR="00137135" w:rsidRDefault="00137135" w:rsidP="00DF2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E2A7" w14:textId="531C095B" w:rsidR="00DF27B1" w:rsidRDefault="00DF27B1">
    <w:pPr>
      <w:pStyle w:val="Kopfzeile"/>
    </w:pPr>
    <w:r>
      <w:rPr>
        <w:noProof/>
      </w:rPr>
      <w:drawing>
        <wp:inline distT="0" distB="0" distL="0" distR="0" wp14:anchorId="3FD8D9DF" wp14:editId="340230EF">
          <wp:extent cx="5736590" cy="1091565"/>
          <wp:effectExtent l="0" t="0" r="0" b="0"/>
          <wp:docPr id="15834130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109156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8E4"/>
    <w:rsid w:val="00087FCB"/>
    <w:rsid w:val="00137135"/>
    <w:rsid w:val="00394338"/>
    <w:rsid w:val="00535C42"/>
    <w:rsid w:val="00873B3E"/>
    <w:rsid w:val="00884E08"/>
    <w:rsid w:val="00A64007"/>
    <w:rsid w:val="00C45B86"/>
    <w:rsid w:val="00DF27B1"/>
    <w:rsid w:val="00EE68E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D15C0"/>
  <w15:chartTrackingRefBased/>
  <w15:docId w15:val="{54D4C6C8-FFA4-4231-8220-CC27F73D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E68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E68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E68E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E68E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E68E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E68E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E68E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E68E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E68E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68E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E68E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E68E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E68E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E68E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E68E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E68E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E68E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E68E4"/>
    <w:rPr>
      <w:rFonts w:eastAsiaTheme="majorEastAsia" w:cstheme="majorBidi"/>
      <w:color w:val="272727" w:themeColor="text1" w:themeTint="D8"/>
    </w:rPr>
  </w:style>
  <w:style w:type="paragraph" w:styleId="Titel">
    <w:name w:val="Title"/>
    <w:basedOn w:val="Standard"/>
    <w:next w:val="Standard"/>
    <w:link w:val="TitelZchn"/>
    <w:uiPriority w:val="10"/>
    <w:qFormat/>
    <w:rsid w:val="00EE68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E68E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E68E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E68E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E68E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E68E4"/>
    <w:rPr>
      <w:i/>
      <w:iCs/>
      <w:color w:val="404040" w:themeColor="text1" w:themeTint="BF"/>
    </w:rPr>
  </w:style>
  <w:style w:type="paragraph" w:styleId="Listenabsatz">
    <w:name w:val="List Paragraph"/>
    <w:basedOn w:val="Standard"/>
    <w:uiPriority w:val="34"/>
    <w:qFormat/>
    <w:rsid w:val="00EE68E4"/>
    <w:pPr>
      <w:ind w:left="720"/>
      <w:contextualSpacing/>
    </w:pPr>
  </w:style>
  <w:style w:type="character" w:styleId="IntensiveHervorhebung">
    <w:name w:val="Intense Emphasis"/>
    <w:basedOn w:val="Absatz-Standardschriftart"/>
    <w:uiPriority w:val="21"/>
    <w:qFormat/>
    <w:rsid w:val="00EE68E4"/>
    <w:rPr>
      <w:i/>
      <w:iCs/>
      <w:color w:val="0F4761" w:themeColor="accent1" w:themeShade="BF"/>
    </w:rPr>
  </w:style>
  <w:style w:type="paragraph" w:styleId="IntensivesZitat">
    <w:name w:val="Intense Quote"/>
    <w:basedOn w:val="Standard"/>
    <w:next w:val="Standard"/>
    <w:link w:val="IntensivesZitatZchn"/>
    <w:uiPriority w:val="30"/>
    <w:qFormat/>
    <w:rsid w:val="00EE68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E68E4"/>
    <w:rPr>
      <w:i/>
      <w:iCs/>
      <w:color w:val="0F4761" w:themeColor="accent1" w:themeShade="BF"/>
    </w:rPr>
  </w:style>
  <w:style w:type="character" w:styleId="IntensiverVerweis">
    <w:name w:val="Intense Reference"/>
    <w:basedOn w:val="Absatz-Standardschriftart"/>
    <w:uiPriority w:val="32"/>
    <w:qFormat/>
    <w:rsid w:val="00EE68E4"/>
    <w:rPr>
      <w:b/>
      <w:bCs/>
      <w:smallCaps/>
      <w:color w:val="0F4761" w:themeColor="accent1" w:themeShade="BF"/>
      <w:spacing w:val="5"/>
    </w:rPr>
  </w:style>
  <w:style w:type="paragraph" w:styleId="Kopfzeile">
    <w:name w:val="header"/>
    <w:basedOn w:val="Standard"/>
    <w:link w:val="KopfzeileZchn"/>
    <w:uiPriority w:val="99"/>
    <w:unhideWhenUsed/>
    <w:rsid w:val="00DF27B1"/>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DF27B1"/>
  </w:style>
  <w:style w:type="paragraph" w:styleId="Fuzeile">
    <w:name w:val="footer"/>
    <w:basedOn w:val="Standard"/>
    <w:link w:val="FuzeileZchn"/>
    <w:uiPriority w:val="99"/>
    <w:unhideWhenUsed/>
    <w:rsid w:val="00DF27B1"/>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DF2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850220">
      <w:bodyDiv w:val="1"/>
      <w:marLeft w:val="0"/>
      <w:marRight w:val="0"/>
      <w:marTop w:val="0"/>
      <w:marBottom w:val="0"/>
      <w:divBdr>
        <w:top w:val="none" w:sz="0" w:space="0" w:color="auto"/>
        <w:left w:val="none" w:sz="0" w:space="0" w:color="auto"/>
        <w:bottom w:val="none" w:sz="0" w:space="0" w:color="auto"/>
        <w:right w:val="none" w:sz="0" w:space="0" w:color="auto"/>
      </w:divBdr>
      <w:divsChild>
        <w:div w:id="1272316572">
          <w:marLeft w:val="0"/>
          <w:marRight w:val="0"/>
          <w:marTop w:val="0"/>
          <w:marBottom w:val="0"/>
          <w:divBdr>
            <w:top w:val="none" w:sz="0" w:space="0" w:color="auto"/>
            <w:left w:val="none" w:sz="0" w:space="0" w:color="auto"/>
            <w:bottom w:val="none" w:sz="0" w:space="0" w:color="auto"/>
            <w:right w:val="none" w:sz="0" w:space="0" w:color="auto"/>
          </w:divBdr>
          <w:divsChild>
            <w:div w:id="1996109726">
              <w:marLeft w:val="0"/>
              <w:marRight w:val="0"/>
              <w:marTop w:val="0"/>
              <w:marBottom w:val="0"/>
              <w:divBdr>
                <w:top w:val="none" w:sz="0" w:space="0" w:color="auto"/>
                <w:left w:val="none" w:sz="0" w:space="0" w:color="auto"/>
                <w:bottom w:val="none" w:sz="0" w:space="0" w:color="auto"/>
                <w:right w:val="none" w:sz="0" w:space="0" w:color="auto"/>
              </w:divBdr>
              <w:divsChild>
                <w:div w:id="1377436322">
                  <w:marLeft w:val="0"/>
                  <w:marRight w:val="0"/>
                  <w:marTop w:val="0"/>
                  <w:marBottom w:val="0"/>
                  <w:divBdr>
                    <w:top w:val="none" w:sz="0" w:space="0" w:color="auto"/>
                    <w:left w:val="none" w:sz="0" w:space="0" w:color="auto"/>
                    <w:bottom w:val="none" w:sz="0" w:space="0" w:color="auto"/>
                    <w:right w:val="none" w:sz="0" w:space="0" w:color="auto"/>
                  </w:divBdr>
                  <w:divsChild>
                    <w:div w:id="155303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Seifeldin Raslan Mohamed</dc:creator>
  <cp:keywords/>
  <dc:description/>
  <cp:lastModifiedBy>Seifeldin Raslan Mohamed</cp:lastModifiedBy>
  <cp:revision>3</cp:revision>
  <dcterms:created xsi:type="dcterms:W3CDTF">2025-02-18T10:04:00Z</dcterms:created>
  <dcterms:modified xsi:type="dcterms:W3CDTF">2025-02-18T10:29:00Z</dcterms:modified>
</cp:coreProperties>
</file>